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25D4" w:rsidRDefault="00CE25D4" w:rsidP="00CE25D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N3 mit Pkw ≤ 3,5 t befahrbar</w:t>
      </w:r>
    </w:p>
    <w:p w:rsidR="00CE25D4" w:rsidRDefault="00A34AD2" w:rsidP="00CE25D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außerhalb des Straßenverkehrs </w:t>
      </w:r>
      <w:bookmarkStart w:id="0" w:name="_GoBack"/>
      <w:bookmarkEnd w:id="0"/>
      <w:r w:rsidR="00CE25D4">
        <w:rPr>
          <w:rFonts w:ascii="Arial" w:hAnsi="Arial" w:cs="Arial"/>
          <w:b/>
          <w:sz w:val="24"/>
          <w:szCs w:val="24"/>
          <w:u w:val="single"/>
        </w:rPr>
        <w:t>mit gelegentlichem Schwerverkehr bis 20 t</w:t>
      </w:r>
    </w:p>
    <w:p w:rsidR="00CE25D4" w:rsidRPr="004D2E88" w:rsidRDefault="00CE25D4" w:rsidP="00CE25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(1 x Woche)</w:t>
      </w:r>
    </w:p>
    <w:p w:rsidR="003800AB" w:rsidRPr="00A34AD2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16"/>
          <w:szCs w:val="16"/>
          <w:lang w:eastAsia="de-DE"/>
        </w:rPr>
      </w:pPr>
    </w:p>
    <w:p w:rsidR="003800AB" w:rsidRPr="00A34AD2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RPr="00A34AD2" w:rsidTr="009259AB">
        <w:tc>
          <w:tcPr>
            <w:tcW w:w="7054" w:type="dxa"/>
          </w:tcPr>
          <w:p w:rsidR="003800AB" w:rsidRPr="00A34AD2" w:rsidRDefault="007843AF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4AD2">
              <w:rPr>
                <w:rFonts w:ascii="Arial" w:hAnsi="Arial" w:cs="Arial"/>
                <w:b/>
                <w:sz w:val="20"/>
                <w:szCs w:val="20"/>
                <w:u w:val="single"/>
              </w:rPr>
              <w:t>Haftvermittler</w:t>
            </w:r>
          </w:p>
        </w:tc>
        <w:tc>
          <w:tcPr>
            <w:tcW w:w="2410" w:type="dxa"/>
            <w:vAlign w:val="bottom"/>
          </w:tcPr>
          <w:p w:rsidR="003800AB" w:rsidRPr="00A34AD2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Default="00297B1A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Herstellung einer kraftschlüssigen Verbindung bei der Verlegung der Belagselemente zwischen diesen und dem erdfeuchten, hydraulisch abbindenden Bettungsmörtel ist JURALITH Pflasterkontaktschlämme PKS einzusetzen.</w:t>
            </w:r>
          </w:p>
          <w:p w:rsidR="00A34AD2" w:rsidRDefault="00A34AD2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7B1A" w:rsidRDefault="00297B1A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JURALITH Pflasterkontaktschlämme PKS wird nach dem Mischen gemäß Technischem Merkblatt auf die gründlich gereinigte Unterseite der Belagstoffe durch ein geeignetes Verfah</w:t>
            </w:r>
            <w:r w:rsidR="00CE25D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en, z. B. tauchen, aufgebracht und anschließend frisch in frisch in die Bettung verlegt und hammerfest gesetzt. Die Verdichtung sollte ca. 20 – 25 % bzw. 1 cm betragen. </w:t>
            </w:r>
          </w:p>
          <w:p w:rsidR="00297B1A" w:rsidRDefault="008E0C68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Platten ist der Auftrag der JURALITH Pflasterkontaktschlämme PKS im Butteringverfahren, z. B. Auftrag mit einer 8 mm Zahntraufel, ggf auch im Buttering-/Floatingverfahren empfehlenswert. Sofern dieses Verfahren gewählt wird, empfiehlt sich der Auftrag bis 1 – 2 cm vom Plattenrand entfernt.</w:t>
            </w: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r w:rsidR="00BA46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Pflasterkontaktschlämme PKS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="00BA469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74682" w:rsidRDefault="00BA4691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Haftzugfestigkeit zwischen Belagselement und Bettung im eingebauten Zustand im Mittel ≥ 0,4 N/mm²</w:t>
            </w:r>
          </w:p>
          <w:p w:rsidR="00BA4691" w:rsidRDefault="00BA4691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4A1E33" w:rsidRDefault="004A1E33" w:rsidP="003E3BDB">
            <w:pPr>
              <w:tabs>
                <w:tab w:val="left" w:pos="273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3E3BD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kg/m²</w:t>
            </w:r>
          </w:p>
          <w:p w:rsidR="003E3BDB" w:rsidRDefault="003E3BDB" w:rsidP="003E3BDB">
            <w:pPr>
              <w:tabs>
                <w:tab w:val="left" w:pos="2730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buttering/floating: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2,5 kg/m²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3E3BDB" w:rsidRDefault="003800AB" w:rsidP="003E3BDB"/>
    <w:sectPr w:rsidR="003800AB" w:rsidRPr="003E3BDB" w:rsidSect="00A34AD2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2" w:rsidRDefault="00A34AD2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>Musterleistungsverzeichnis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>Nutzungskategorie N</w:t>
    </w:r>
    <w:r w:rsidR="00CE25D4">
      <w:rPr>
        <w:rFonts w:ascii="Arial" w:hAnsi="Arial" w:cs="Arial"/>
        <w:sz w:val="20"/>
        <w:szCs w:val="20"/>
      </w:rPr>
      <w:t>3</w:t>
    </w:r>
    <w:r w:rsidR="009413E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- mit </w:t>
    </w:r>
    <w:r w:rsidR="009413EF">
      <w:rPr>
        <w:rFonts w:ascii="Arial" w:hAnsi="Arial" w:cs="Arial"/>
        <w:sz w:val="20"/>
        <w:szCs w:val="20"/>
      </w:rPr>
      <w:t xml:space="preserve">Pkw ≤ 3,5 t </w:t>
    </w:r>
    <w:r>
      <w:rPr>
        <w:rFonts w:ascii="Arial" w:hAnsi="Arial" w:cs="Arial"/>
        <w:sz w:val="20"/>
        <w:szCs w:val="20"/>
      </w:rPr>
      <w:t xml:space="preserve">befahrbar, außerhalb des Straßenverkehrs </w:t>
    </w:r>
    <w:r w:rsidR="00CE25D4">
      <w:rPr>
        <w:rFonts w:ascii="Arial" w:hAnsi="Arial" w:cs="Arial"/>
        <w:sz w:val="20"/>
        <w:szCs w:val="20"/>
      </w:rPr>
      <w:t>mit gelegentlichem Schwerverkehr bis 20 t</w:t>
    </w:r>
  </w:p>
  <w:p w:rsidR="009918FC" w:rsidRPr="009918FC" w:rsidRDefault="00A34AD2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Haftvermittler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C5101"/>
    <w:rsid w:val="001E44B4"/>
    <w:rsid w:val="00274682"/>
    <w:rsid w:val="00297B1A"/>
    <w:rsid w:val="003800AB"/>
    <w:rsid w:val="003E3BDB"/>
    <w:rsid w:val="004A1E33"/>
    <w:rsid w:val="004D2E88"/>
    <w:rsid w:val="005B7D7C"/>
    <w:rsid w:val="00605138"/>
    <w:rsid w:val="006256A8"/>
    <w:rsid w:val="007843AF"/>
    <w:rsid w:val="007D6BDD"/>
    <w:rsid w:val="0082252B"/>
    <w:rsid w:val="008D18A6"/>
    <w:rsid w:val="008E0C68"/>
    <w:rsid w:val="009413EF"/>
    <w:rsid w:val="009644C4"/>
    <w:rsid w:val="009918FC"/>
    <w:rsid w:val="00A34AD2"/>
    <w:rsid w:val="00AA5671"/>
    <w:rsid w:val="00AF0757"/>
    <w:rsid w:val="00BA4691"/>
    <w:rsid w:val="00BC0012"/>
    <w:rsid w:val="00C80B19"/>
    <w:rsid w:val="00C943BF"/>
    <w:rsid w:val="00CE25D4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B85680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12</cp:revision>
  <dcterms:created xsi:type="dcterms:W3CDTF">2021-01-20T15:10:00Z</dcterms:created>
  <dcterms:modified xsi:type="dcterms:W3CDTF">2021-08-02T12:10:00Z</dcterms:modified>
</cp:coreProperties>
</file>