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68FA" w:rsidRDefault="005168FA" w:rsidP="005168F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N2 mit Pkw ≤ 3,5 t befahrbar</w:t>
      </w:r>
    </w:p>
    <w:p w:rsidR="005168FA" w:rsidRPr="004D2E88" w:rsidRDefault="005168FA" w:rsidP="005168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856C84">
        <w:rPr>
          <w:rFonts w:ascii="Arial" w:hAnsi="Arial" w:cs="Arial"/>
          <w:b/>
          <w:sz w:val="24"/>
          <w:szCs w:val="24"/>
          <w:u w:val="single"/>
        </w:rPr>
        <w:t>, z. B. Garagenzufahrten, Pkw-Stellplätze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1D5EC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Nachbehandlung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D5EC0" w:rsidRDefault="005168FA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Kunstharzgebundene Fugenmörtel</w:t>
            </w:r>
          </w:p>
          <w:p w:rsidR="001D5EC0" w:rsidRP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Während der Aushärtung (ca. 24 Stunden bei 20 °C) vor Feuchtigkeit (Kondensat, Niederschlag) schützen. Hierzu eine unterlüftete Folie aufbringen. </w:t>
            </w:r>
          </w:p>
          <w:p w:rsidR="00780F9C" w:rsidRDefault="00780F9C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1D5EC0" w:rsidRDefault="001D5EC0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1D5EC0" w:rsidRPr="001D5EC0" w:rsidRDefault="001D5EC0" w:rsidP="001D5EC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3800AB">
        <w:tc>
          <w:tcPr>
            <w:tcW w:w="7054" w:type="dxa"/>
          </w:tcPr>
          <w:p w:rsidR="003800AB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Zementgebundene Fugenmörtel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Bei zementgebundener Bettung und Verfugung ist eine Nachbehandlung erforderlich, auch vor der Verfugung. Hierzu ist ein helles Vlies aufzubringen</w:t>
            </w:r>
            <w:r w:rsidR="00856C8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und feuchtzuhalten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. Nach der Verfugung das Vlies 5 Tage feuchthalten. </w:t>
            </w:r>
          </w:p>
          <w:p w:rsidR="00780F9C" w:rsidRDefault="00780F9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In Mörtelbett gesetztes Pflaster wird nach der Verfugung erst nach ausreichender Erhärtung von Bettung und Fugenmörtel für den Verkehr freigegeben.</w:t>
            </w:r>
          </w:p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  <w:p w:rsidR="005168FA" w:rsidRPr="005168FA" w:rsidRDefault="005168FA" w:rsidP="005168FA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pauschal</w:t>
            </w:r>
          </w:p>
        </w:tc>
        <w:tc>
          <w:tcPr>
            <w:tcW w:w="2410" w:type="dxa"/>
            <w:vAlign w:val="bottom"/>
          </w:tcPr>
          <w:p w:rsidR="003800AB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168FA" w:rsidTr="003800AB">
        <w:tc>
          <w:tcPr>
            <w:tcW w:w="7054" w:type="dxa"/>
          </w:tcPr>
          <w:p w:rsidR="005168FA" w:rsidRDefault="005168FA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168FA" w:rsidRDefault="005168FA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856C84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4" w:rsidRDefault="00856C84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5168FA">
      <w:rPr>
        <w:rFonts w:ascii="Arial" w:hAnsi="Arial" w:cs="Arial"/>
        <w:sz w:val="20"/>
        <w:szCs w:val="20"/>
      </w:rPr>
      <w:t>Nutzungskategorie N2</w:t>
    </w:r>
    <w:r w:rsidR="00780F9C">
      <w:rPr>
        <w:rFonts w:ascii="Arial" w:hAnsi="Arial" w:cs="Arial"/>
        <w:sz w:val="20"/>
        <w:szCs w:val="20"/>
      </w:rPr>
      <w:t xml:space="preserve"> – Pkw ≤ 3,5 t befahrbar außerhalb des Straßenverkehrs</w:t>
    </w:r>
  </w:p>
  <w:p w:rsidR="009918FC" w:rsidRPr="009918FC" w:rsidRDefault="00856C84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Nachbehandlung</w:t>
    </w:r>
    <w:r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D5EC0"/>
    <w:rsid w:val="001E44B4"/>
    <w:rsid w:val="003800AB"/>
    <w:rsid w:val="003D047D"/>
    <w:rsid w:val="004A1E33"/>
    <w:rsid w:val="004D2E88"/>
    <w:rsid w:val="005168FA"/>
    <w:rsid w:val="00605138"/>
    <w:rsid w:val="00712B7B"/>
    <w:rsid w:val="00780F9C"/>
    <w:rsid w:val="007D6BDD"/>
    <w:rsid w:val="0082252B"/>
    <w:rsid w:val="00856C84"/>
    <w:rsid w:val="00946FC9"/>
    <w:rsid w:val="009644C4"/>
    <w:rsid w:val="009918FC"/>
    <w:rsid w:val="00AA5671"/>
    <w:rsid w:val="00DC4D42"/>
    <w:rsid w:val="00DD517F"/>
    <w:rsid w:val="00EA5D6B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cp:lastPrinted>2021-08-02T08:57:00Z</cp:lastPrinted>
  <dcterms:created xsi:type="dcterms:W3CDTF">2021-06-24T09:28:00Z</dcterms:created>
  <dcterms:modified xsi:type="dcterms:W3CDTF">2021-08-12T10:18:00Z</dcterms:modified>
</cp:coreProperties>
</file>