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8D18A6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N2 mit Pkw ≤ 3,5 t befahrbar</w:t>
      </w:r>
      <w:bookmarkStart w:id="0" w:name="_GoBack"/>
      <w:bookmarkEnd w:id="0"/>
    </w:p>
    <w:p w:rsidR="008D18A6" w:rsidRPr="004D2E88" w:rsidRDefault="008D18A6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DD3E24">
        <w:rPr>
          <w:rFonts w:ascii="Arial" w:hAnsi="Arial" w:cs="Arial"/>
          <w:b/>
          <w:sz w:val="24"/>
          <w:szCs w:val="24"/>
          <w:u w:val="single"/>
        </w:rPr>
        <w:t>, z. B. Garagenzufahrten, Pkw-Stellplätze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7843AF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Haftvermittler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Default="00297B1A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Herstellung einer kraftschlüssigen Verbindung bei der Verlegung der Belagselemente zwischen diesen und dem erdfeuchten, hydraulisch abbindenden Bettungsmörtel ist JURALITH Pflasterkontaktschlämme PKS einzusetzen.</w:t>
            </w:r>
          </w:p>
          <w:p w:rsidR="00297B1A" w:rsidRDefault="00297B1A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JURALITH Pflasterkontaktschlämme PKS wird nach dem Mischen gemäß Technischem Merkblatt auf die gründlich gereinigte Unterseite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Belagstoffe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durch ein geeignetes Verfah</w:t>
            </w:r>
            <w:r w:rsidR="00DD3E2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en, z. B. tauchen, aufgebracht und anschließend frisch in frisch in die Bettung verlegt und hammerfest gesetzt. Die Verdichtung sollte ca. 20 – 25 % bzw. 1 cm betragen. </w:t>
            </w:r>
          </w:p>
          <w:p w:rsidR="00297B1A" w:rsidRDefault="008E0C68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Platten ist der Auftrag der JURALITH Pflasterkontaktschlämme PKS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Butteringverfahren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z. B. Auftrag mit einer 8 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Zahntraufel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ggf</w:t>
            </w:r>
            <w:r w:rsidR="00DD3E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auch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Buttering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Floatingverfahren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empfehlenswert. Sofern dieses Verfahren gewählt wird, empfiehlt sich der Auftrag bis 1 – 2 cm vom Plattenrand entfernt.</w:t>
            </w: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r w:rsidR="00BA46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Pflasterkontaktschlämme PKS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BA46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Default="00BA4691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Haftzugfestigkeit zwischen Belagselement und Bettung im eingebauten Zustand im Mittel ≥ 0,4 N/mm²</w:t>
            </w:r>
          </w:p>
          <w:p w:rsidR="00BA4691" w:rsidRDefault="00BA4691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1E33" w:rsidRDefault="004A1E33" w:rsidP="003E3BDB">
            <w:pPr>
              <w:tabs>
                <w:tab w:val="left" w:pos="273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3E3B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kg/m²</w:t>
            </w:r>
          </w:p>
          <w:p w:rsidR="003E3BDB" w:rsidRDefault="003E3BDB" w:rsidP="003E3BDB">
            <w:pPr>
              <w:tabs>
                <w:tab w:val="left" w:pos="273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Verbrauch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buttering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floating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2,5 kg/m²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3E3BDB" w:rsidRDefault="003800AB" w:rsidP="003E3BDB"/>
    <w:sectPr w:rsidR="003800AB" w:rsidRPr="003E3BDB" w:rsidSect="0017227D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DD3E24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>Nutzungskategorie N2 mit Pkw ≤ 3,5 t außerhalb des Straßenverkehrs</w:t>
    </w:r>
    <w:r w:rsidR="009413EF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Haftvermittler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7227D"/>
    <w:rsid w:val="001C5101"/>
    <w:rsid w:val="001E44B4"/>
    <w:rsid w:val="00274682"/>
    <w:rsid w:val="00297B1A"/>
    <w:rsid w:val="003800AB"/>
    <w:rsid w:val="003E3BDB"/>
    <w:rsid w:val="004A1E33"/>
    <w:rsid w:val="004D2E88"/>
    <w:rsid w:val="005B7D7C"/>
    <w:rsid w:val="00605138"/>
    <w:rsid w:val="006256A8"/>
    <w:rsid w:val="007843AF"/>
    <w:rsid w:val="007D6BDD"/>
    <w:rsid w:val="0082252B"/>
    <w:rsid w:val="008D18A6"/>
    <w:rsid w:val="008E0C68"/>
    <w:rsid w:val="009413EF"/>
    <w:rsid w:val="009644C4"/>
    <w:rsid w:val="009918FC"/>
    <w:rsid w:val="00AA5671"/>
    <w:rsid w:val="00AF0757"/>
    <w:rsid w:val="00BA4691"/>
    <w:rsid w:val="00BC0012"/>
    <w:rsid w:val="00C80B19"/>
    <w:rsid w:val="00C943BF"/>
    <w:rsid w:val="00DC4D42"/>
    <w:rsid w:val="00DD3E24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12</cp:revision>
  <cp:lastPrinted>2021-07-30T07:11:00Z</cp:lastPrinted>
  <dcterms:created xsi:type="dcterms:W3CDTF">2021-01-20T15:10:00Z</dcterms:created>
  <dcterms:modified xsi:type="dcterms:W3CDTF">2021-08-12T09:38:00Z</dcterms:modified>
</cp:coreProperties>
</file>