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626C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0FD2AA1F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8D0975" w14:textId="77777777" w:rsidR="00126389" w:rsidRDefault="00126389" w:rsidP="003D52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N1 ausschließlich begehbare Flächen</w:t>
      </w:r>
    </w:p>
    <w:p w14:paraId="7E6F3159" w14:textId="77777777" w:rsidR="00126389" w:rsidRDefault="00126389" w:rsidP="003D52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B7F422" w14:textId="08B0B728" w:rsidR="003D5270" w:rsidRDefault="003D5270" w:rsidP="003D52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Sonderkonstruktion</w:t>
      </w:r>
    </w:p>
    <w:p w14:paraId="431D7659" w14:textId="77777777" w:rsidR="003D5270" w:rsidRDefault="003D5270" w:rsidP="003D52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Keramische Platten 20 mm (Mindestdicke)</w:t>
      </w:r>
    </w:p>
    <w:p w14:paraId="5C51FE6F" w14:textId="77777777" w:rsidR="003D5270" w:rsidRPr="004D2E88" w:rsidRDefault="003D5270" w:rsidP="003D52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mit und ohne gebundene Tragschicht (auskragende Bodenplatte)</w:t>
      </w:r>
    </w:p>
    <w:p w14:paraId="509ADAD0" w14:textId="77777777" w:rsidR="003D5270" w:rsidRPr="00E75D71" w:rsidRDefault="003D5270" w:rsidP="00E75D71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</w:p>
    <w:p w14:paraId="5FC94C61" w14:textId="77777777" w:rsidR="003D5270" w:rsidRPr="00E75D71" w:rsidRDefault="003D5270" w:rsidP="00E75D71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bookmarkEnd w:id="0"/>
    <w:p w14:paraId="488417E1" w14:textId="77777777" w:rsidR="003D5270" w:rsidRPr="005A31EC" w:rsidRDefault="003D5270" w:rsidP="003D5270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5A31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Dieser Ausführungsvorschlag entspricht unserer jahrelangen Erfahrung</w:t>
      </w:r>
    </w:p>
    <w:p w14:paraId="729572CC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51"/>
        <w:gridCol w:w="2410"/>
      </w:tblGrid>
      <w:tr w:rsidR="003800AB" w14:paraId="1CD7BB89" w14:textId="77777777" w:rsidTr="00833F34">
        <w:tc>
          <w:tcPr>
            <w:tcW w:w="7054" w:type="dxa"/>
            <w:gridSpan w:val="2"/>
          </w:tcPr>
          <w:p w14:paraId="6A61F39E" w14:textId="77777777" w:rsidR="00D770F7" w:rsidRDefault="00D770F7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Fugen verfüllen</w:t>
            </w:r>
          </w:p>
          <w:p w14:paraId="4ACBE9D0" w14:textId="23233674" w:rsidR="003800AB" w:rsidRPr="0023541F" w:rsidRDefault="003D527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wasserdurchlässige Schottertragschicht</w:t>
            </w:r>
          </w:p>
        </w:tc>
        <w:tc>
          <w:tcPr>
            <w:tcW w:w="2410" w:type="dxa"/>
            <w:vAlign w:val="bottom"/>
          </w:tcPr>
          <w:p w14:paraId="0BD59C3E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04F4DD0D" w14:textId="77777777" w:rsidTr="00833F34">
        <w:tc>
          <w:tcPr>
            <w:tcW w:w="7054" w:type="dxa"/>
            <w:gridSpan w:val="2"/>
          </w:tcPr>
          <w:p w14:paraId="1B42356A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607D14A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A9" w14:paraId="482B3997" w14:textId="77777777" w:rsidTr="00833F34">
        <w:tc>
          <w:tcPr>
            <w:tcW w:w="5103" w:type="dxa"/>
            <w:tcBorders>
              <w:bottom w:val="single" w:sz="4" w:space="0" w:color="auto"/>
            </w:tcBorders>
          </w:tcPr>
          <w:p w14:paraId="2B557F1D" w14:textId="1BF10DD9" w:rsidR="00676EA9" w:rsidRDefault="00126389" w:rsidP="008940A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Anforderungen an die fertige Leistung</w:t>
            </w:r>
          </w:p>
          <w:p w14:paraId="49CB5B1A" w14:textId="77777777" w:rsidR="00126389" w:rsidRPr="00250E63" w:rsidRDefault="00126389" w:rsidP="008940A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A4664" w14:textId="4FF2152F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E14ADD">
              <w:rPr>
                <w:rFonts w:ascii="Arial" w:hAnsi="Arial" w:cs="Arial"/>
                <w:sz w:val="20"/>
                <w:szCs w:val="20"/>
              </w:rPr>
              <w:t>N1</w:t>
            </w:r>
            <w:r w:rsidR="00793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E63">
              <w:rPr>
                <w:rFonts w:ascii="Arial" w:hAnsi="Arial" w:cs="Arial"/>
                <w:sz w:val="20"/>
                <w:szCs w:val="20"/>
              </w:rPr>
              <w:t>≥</w:t>
            </w:r>
            <w:r w:rsidR="00793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270">
              <w:rPr>
                <w:rFonts w:ascii="Arial" w:hAnsi="Arial" w:cs="Arial"/>
                <w:sz w:val="20"/>
                <w:szCs w:val="20"/>
              </w:rPr>
              <w:t>5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5BFC5E74" w14:textId="1215862C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6728AD">
              <w:rPr>
                <w:rFonts w:ascii="Arial" w:hAnsi="Arial" w:cs="Arial"/>
                <w:sz w:val="20"/>
                <w:szCs w:val="20"/>
              </w:rPr>
              <w:t>N</w:t>
            </w:r>
            <w:r w:rsidR="00E14ADD">
              <w:rPr>
                <w:rFonts w:ascii="Arial" w:hAnsi="Arial" w:cs="Arial"/>
                <w:sz w:val="20"/>
                <w:szCs w:val="20"/>
              </w:rPr>
              <w:t>1</w:t>
            </w:r>
            <w:r w:rsidR="00672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E63">
              <w:rPr>
                <w:rFonts w:ascii="Arial" w:hAnsi="Arial" w:cs="Arial"/>
                <w:sz w:val="20"/>
                <w:szCs w:val="20"/>
              </w:rPr>
              <w:t>≥ 0,</w:t>
            </w:r>
            <w:r w:rsidR="003D5270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50E63">
              <w:rPr>
                <w:rFonts w:ascii="Arial" w:hAnsi="Arial" w:cs="Arial"/>
                <w:sz w:val="20"/>
                <w:szCs w:val="20"/>
              </w:rPr>
              <w:t>N/mm²</w:t>
            </w:r>
          </w:p>
          <w:p w14:paraId="311C4E27" w14:textId="3A5BD21B" w:rsidR="008940A2" w:rsidRPr="00E14ADD" w:rsidRDefault="003D5270" w:rsidP="00E14ADD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Wasserdurchlässigkeit</w:t>
            </w:r>
            <w:r w:rsidR="00676EA9" w:rsidRPr="00250E63">
              <w:rPr>
                <w:rFonts w:ascii="Arial" w:hAnsi="Arial" w:cs="Arial"/>
                <w:sz w:val="20"/>
                <w:szCs w:val="20"/>
              </w:rPr>
              <w:t>:</w:t>
            </w:r>
            <w:r w:rsidR="00676EA9"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≥ 1 x 10</w:t>
            </w:r>
            <w:r w:rsidRPr="003D5270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  <w:r>
              <w:rPr>
                <w:rFonts w:ascii="Arial" w:hAnsi="Arial" w:cs="Arial"/>
                <w:sz w:val="20"/>
                <w:szCs w:val="20"/>
              </w:rPr>
              <w:t xml:space="preserve"> m/s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7C813834" w14:textId="52032643" w:rsidR="008940A2" w:rsidRPr="00126389" w:rsidRDefault="00126389" w:rsidP="008940A2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638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Produkt:</w:t>
            </w:r>
          </w:p>
          <w:p w14:paraId="5DDFB267" w14:textId="77777777" w:rsidR="00126389" w:rsidRPr="008940A2" w:rsidRDefault="00126389" w:rsidP="008940A2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656046" w14:textId="648FC2B5" w:rsidR="008940A2" w:rsidRPr="00E14ADD" w:rsidRDefault="00E14ADD" w:rsidP="00126389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A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Pflasterfugenmörtel </w:t>
            </w:r>
            <w:r w:rsidR="003D5270">
              <w:rPr>
                <w:rFonts w:ascii="Arial" w:hAnsi="Arial" w:cs="Arial"/>
                <w:b/>
                <w:bCs/>
                <w:sz w:val="20"/>
                <w:szCs w:val="20"/>
              </w:rPr>
              <w:t>KFM 120</w:t>
            </w:r>
          </w:p>
        </w:tc>
      </w:tr>
      <w:tr w:rsidR="00AA1DFD" w14:paraId="787D8094" w14:textId="77777777" w:rsidTr="00833F34">
        <w:tc>
          <w:tcPr>
            <w:tcW w:w="7054" w:type="dxa"/>
            <w:gridSpan w:val="2"/>
          </w:tcPr>
          <w:p w14:paraId="66F59750" w14:textId="77777777" w:rsidR="00AA1DFD" w:rsidRPr="001A4C28" w:rsidRDefault="00AA1DFD" w:rsidP="005F7D6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6BAD4AA" w14:textId="77777777" w:rsidR="00AA1DFD" w:rsidRDefault="00AA1DFD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5E1" w:rsidRPr="00E14ADD" w14:paraId="20818BB1" w14:textId="77777777" w:rsidTr="00833F34">
        <w:tc>
          <w:tcPr>
            <w:tcW w:w="9464" w:type="dxa"/>
            <w:gridSpan w:val="3"/>
          </w:tcPr>
          <w:p w14:paraId="0E9FD097" w14:textId="77777777" w:rsidR="008315E1" w:rsidRDefault="003D527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Hinweis: Bei kunstharzgebundenen Pflasterfugenmörteln kann das Erscheinungsbild des Steins/der Platte verändert werden. Musterflächen sind anzulegen.</w:t>
            </w:r>
          </w:p>
          <w:p w14:paraId="60E3DAD9" w14:textId="77777777" w:rsidR="003D5270" w:rsidRDefault="003D527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CF8C0" w14:textId="48ACA226" w:rsidR="003D5270" w:rsidRDefault="003D527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der Verarbeitung sind die Angaben </w:t>
            </w:r>
            <w:r w:rsidR="00126389">
              <w:rPr>
                <w:rFonts w:ascii="Arial" w:hAnsi="Arial" w:cs="Arial"/>
                <w:sz w:val="20"/>
                <w:szCs w:val="20"/>
              </w:rPr>
              <w:t>im Technischen Merkblatt</w:t>
            </w:r>
            <w:r>
              <w:rPr>
                <w:rFonts w:ascii="Arial" w:hAnsi="Arial" w:cs="Arial"/>
                <w:sz w:val="20"/>
                <w:szCs w:val="20"/>
              </w:rPr>
              <w:t xml:space="preserve"> zu beachten. Die zu verfugende Fläche muss leicht vorgenässt werden. Stehendes Wasser in den Fugen ist zu vermeiden. Eine ggf. vorhandene Fase darf nicht verfugt werden. </w:t>
            </w:r>
          </w:p>
          <w:p w14:paraId="65052B9F" w14:textId="77777777" w:rsidR="003D5270" w:rsidRDefault="003D527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verarbeitungsfertige Material aus dem Liefergebinde auf die leicht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vorgenässte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Fläche einbringen,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häufchenweise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verteilen und mit dem Moosgummiwischer in die Fugen einarbeiten und dabei verdichten. Ein feiner Wasserstrahl kann unterstützend beim Einbringen sein.</w:t>
            </w:r>
          </w:p>
          <w:p w14:paraId="0E352A95" w14:textId="77777777" w:rsidR="003D5270" w:rsidRDefault="003D527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Anschließend mit einem Kokosbesen die Fläche kreuzweise abkehren und dabei die Fugenoberfläche glätten. </w:t>
            </w:r>
          </w:p>
          <w:p w14:paraId="001E2BC3" w14:textId="03B8060B" w:rsidR="003D5270" w:rsidRPr="00E14ADD" w:rsidRDefault="003D527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Fläche ist nach der Verfugung 24 Stunden vor Regen zu schützen (unterlüftete Folie).</w:t>
            </w:r>
          </w:p>
        </w:tc>
      </w:tr>
      <w:tr w:rsidR="007E1930" w14:paraId="1C99D433" w14:textId="77777777" w:rsidTr="00833F34">
        <w:tc>
          <w:tcPr>
            <w:tcW w:w="9464" w:type="dxa"/>
            <w:gridSpan w:val="3"/>
          </w:tcPr>
          <w:p w14:paraId="3241AD15" w14:textId="77777777" w:rsidR="007E1930" w:rsidRPr="00D770F7" w:rsidRDefault="007E193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E1930" w14:paraId="0EB015FD" w14:textId="77777777" w:rsidTr="00833F34">
        <w:tc>
          <w:tcPr>
            <w:tcW w:w="7054" w:type="dxa"/>
            <w:gridSpan w:val="2"/>
          </w:tcPr>
          <w:p w14:paraId="7FA3FAFF" w14:textId="4FAC0696" w:rsidR="007E1930" w:rsidRPr="003256D0" w:rsidRDefault="007E1930" w:rsidP="00E14AD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Pflasterfugenmörtel </w:t>
            </w:r>
            <w:r w:rsidR="003D527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KFM 120</w:t>
            </w:r>
            <w:r w:rsidR="00E14AD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spellStart"/>
            <w:r w:rsidR="003D527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drainfähig</w:t>
            </w:r>
            <w:proofErr w:type="spellEnd"/>
            <w:r w:rsidR="003D527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, kunstharzgebunden</w:t>
            </w:r>
          </w:p>
          <w:p w14:paraId="50E0FDAD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67E56B8" w14:textId="77777777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BF64DA7" w14:textId="2FCBB287" w:rsidR="007E1930" w:rsidRPr="008315E1" w:rsidRDefault="003D5270" w:rsidP="00833F34">
            <w:pPr>
              <w:tabs>
                <w:tab w:val="left" w:pos="2872"/>
              </w:tabs>
              <w:spacing w:after="0" w:line="240" w:lineRule="auto"/>
              <w:ind w:left="2872" w:right="34" w:hanging="28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Bindemittel:</w:t>
            </w:r>
            <w:r w:rsidR="00BE23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K Polybutadien</w:t>
            </w:r>
          </w:p>
          <w:p w14:paraId="030DC5BB" w14:textId="0DFE36E6" w:rsidR="007E1930" w:rsidRPr="008315E1" w:rsidRDefault="007E1930" w:rsidP="00833F34">
            <w:pPr>
              <w:tabs>
                <w:tab w:val="left" w:pos="2872"/>
              </w:tabs>
              <w:spacing w:after="0" w:line="240" w:lineRule="auto"/>
              <w:ind w:left="2872" w:right="34" w:hanging="28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D527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ca. 10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7DECF585" w14:textId="6BE620F3" w:rsidR="007E1930" w:rsidRDefault="003D5270" w:rsidP="00833F34">
            <w:pPr>
              <w:tabs>
                <w:tab w:val="left" w:pos="2872"/>
              </w:tabs>
              <w:spacing w:after="0" w:line="240" w:lineRule="auto"/>
              <w:ind w:left="2872" w:right="34" w:hanging="28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Wasserschluckwert: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&gt; 15 cm Wassersäule/Stunde</w:t>
            </w:r>
          </w:p>
          <w:p w14:paraId="768AF798" w14:textId="06D486D7" w:rsidR="003D5270" w:rsidRDefault="003D5270" w:rsidP="00833F34">
            <w:pPr>
              <w:tabs>
                <w:tab w:val="left" w:pos="2872"/>
              </w:tabs>
              <w:spacing w:after="0" w:line="240" w:lineRule="auto"/>
              <w:ind w:left="2872" w:right="34" w:hanging="28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versickerbare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Regenspende: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&gt; 4000 l/(sec*ha)</w:t>
            </w:r>
          </w:p>
          <w:p w14:paraId="22458787" w14:textId="76B49847" w:rsidR="003D5270" w:rsidRDefault="003D5270" w:rsidP="00833F34">
            <w:pPr>
              <w:tabs>
                <w:tab w:val="left" w:pos="2872"/>
              </w:tabs>
              <w:spacing w:after="0" w:line="240" w:lineRule="auto"/>
              <w:ind w:left="2872" w:right="34" w:hanging="28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3 mm</w:t>
            </w:r>
          </w:p>
          <w:p w14:paraId="73A09B56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374342A" w14:textId="77777777" w:rsidR="007E1930" w:rsidRDefault="007E1930" w:rsidP="00C23A80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4C022E43" w14:textId="77777777" w:rsidR="007E1930" w:rsidRPr="001A4C28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AB595B0" w14:textId="77777777" w:rsidR="007E1930" w:rsidRPr="001A4C28" w:rsidRDefault="007E1930" w:rsidP="00C23A8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733C3024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70FBF8D" w14:textId="77777777" w:rsidR="007E1930" w:rsidRPr="000778E9" w:rsidRDefault="007E1930" w:rsidP="00C23A8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62346268" w14:textId="77777777" w:rsidR="007E1930" w:rsidRDefault="007E1930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7E1930" w14:paraId="295E552A" w14:textId="77777777" w:rsidTr="00833F34">
        <w:tc>
          <w:tcPr>
            <w:tcW w:w="7054" w:type="dxa"/>
            <w:gridSpan w:val="2"/>
          </w:tcPr>
          <w:p w14:paraId="14483519" w14:textId="77777777" w:rsidR="007E1930" w:rsidRPr="007D2527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3129BDAD" w14:textId="77777777" w:rsidR="007E1930" w:rsidRDefault="007E1930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34" w14:paraId="0095AE88" w14:textId="77777777" w:rsidTr="00833F34">
        <w:tc>
          <w:tcPr>
            <w:tcW w:w="7054" w:type="dxa"/>
            <w:gridSpan w:val="2"/>
          </w:tcPr>
          <w:p w14:paraId="0761B520" w14:textId="77777777" w:rsidR="00833F34" w:rsidRPr="007D2527" w:rsidRDefault="00833F34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4A6E328A" w14:textId="77777777" w:rsidR="00833F34" w:rsidRDefault="00833F34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2B8A1" w14:textId="77777777" w:rsidR="00423ACC" w:rsidRDefault="00423ACC">
      <w:r>
        <w:br w:type="page"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962"/>
        <w:gridCol w:w="2092"/>
        <w:gridCol w:w="2410"/>
      </w:tblGrid>
      <w:tr w:rsidR="00833F34" w14:paraId="6A7C66AD" w14:textId="77777777" w:rsidTr="00B62995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25648" w14:textId="5B51958A" w:rsidR="00833F34" w:rsidRDefault="00833F34" w:rsidP="009902A1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Fugen verfüllen</w:t>
            </w:r>
          </w:p>
          <w:p w14:paraId="5D3C39A5" w14:textId="3154DD47" w:rsidR="00833F34" w:rsidRDefault="00833F34" w:rsidP="009902A1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wasserundurchlässige Tragschicht, z. B. auskragende Bodenplatte</w:t>
            </w:r>
          </w:p>
        </w:tc>
      </w:tr>
      <w:tr w:rsidR="00833F34" w14:paraId="42B0E4D8" w14:textId="77777777" w:rsidTr="00833F34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BF5BB" w14:textId="77777777" w:rsidR="00833F34" w:rsidRPr="001A4C28" w:rsidRDefault="00833F34" w:rsidP="009902A1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8EDC94" w14:textId="77777777" w:rsidR="00833F34" w:rsidRDefault="00833F34" w:rsidP="009902A1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34" w14:paraId="693A45E7" w14:textId="77777777" w:rsidTr="00833F3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4FA5DAE" w14:textId="768777A9" w:rsidR="00833F34" w:rsidRDefault="00126389" w:rsidP="009902A1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Anforderungen an die fertige Leistung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B8E3CEE" w14:textId="77777777" w:rsidR="00126389" w:rsidRPr="00250E63" w:rsidRDefault="00126389" w:rsidP="009902A1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E8D18C" w14:textId="06CA20CF" w:rsidR="00833F34" w:rsidRPr="00250E63" w:rsidRDefault="00833F34" w:rsidP="009902A1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N1 </w:t>
            </w:r>
            <w:r w:rsidRPr="00250E63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45BBD2EF" w14:textId="4ADADB69" w:rsidR="00833F34" w:rsidRDefault="00833F34" w:rsidP="009902A1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N1 </w:t>
            </w:r>
            <w:r w:rsidRPr="00250E63">
              <w:rPr>
                <w:rFonts w:ascii="Arial" w:hAnsi="Arial" w:cs="Arial"/>
                <w:sz w:val="20"/>
                <w:szCs w:val="20"/>
              </w:rPr>
              <w:t>≥ 0,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0E63">
              <w:rPr>
                <w:rFonts w:ascii="Arial" w:hAnsi="Arial" w:cs="Arial"/>
                <w:sz w:val="20"/>
                <w:szCs w:val="20"/>
              </w:rPr>
              <w:t>N/mm²</w:t>
            </w:r>
          </w:p>
          <w:p w14:paraId="49202D4D" w14:textId="76AC08AF" w:rsidR="00833F34" w:rsidRPr="00250E63" w:rsidRDefault="00833F34" w:rsidP="009902A1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Frost-/Tausalzwiderstand:</w:t>
            </w:r>
            <w:r>
              <w:rPr>
                <w:rFonts w:ascii="Arial" w:hAnsi="Arial" w:cs="Arial"/>
                <w:sz w:val="20"/>
                <w:szCs w:val="20"/>
              </w:rPr>
              <w:tab/>
              <w:t>≤ 800 g/m²</w:t>
            </w:r>
          </w:p>
          <w:p w14:paraId="5197E407" w14:textId="770918B3" w:rsidR="00833F34" w:rsidRPr="00E14ADD" w:rsidRDefault="00833F34" w:rsidP="009902A1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Fugenbreite</w:t>
            </w:r>
            <w:r w:rsidRPr="00250E63">
              <w:rPr>
                <w:rFonts w:ascii="Arial" w:hAnsi="Arial" w:cs="Arial"/>
                <w:sz w:val="20"/>
                <w:szCs w:val="20"/>
              </w:rPr>
              <w:t>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3CC24" w14:textId="0A16FD26" w:rsidR="00833F34" w:rsidRPr="00423ACC" w:rsidRDefault="00126389" w:rsidP="009902A1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23A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Produkt:</w:t>
            </w:r>
          </w:p>
          <w:p w14:paraId="2EFA48E3" w14:textId="77777777" w:rsidR="00126389" w:rsidRPr="008940A2" w:rsidRDefault="00126389" w:rsidP="009902A1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8B549F" w14:textId="7A366FDE" w:rsidR="00833F34" w:rsidRPr="00E14ADD" w:rsidRDefault="00833F34" w:rsidP="00126389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A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Pflasterfugenmörtel </w:t>
            </w:r>
            <w:r w:rsidR="00126389">
              <w:rPr>
                <w:rFonts w:ascii="Arial" w:hAnsi="Arial" w:cs="Arial"/>
                <w:b/>
                <w:bCs/>
                <w:sz w:val="20"/>
                <w:szCs w:val="20"/>
              </w:rPr>
              <w:t>ZFM 730</w:t>
            </w:r>
          </w:p>
        </w:tc>
      </w:tr>
      <w:tr w:rsidR="00833F34" w14:paraId="72C76A8E" w14:textId="77777777" w:rsidTr="00833F34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8AF91" w14:textId="77777777" w:rsidR="00833F34" w:rsidRPr="001A4C28" w:rsidRDefault="00833F34" w:rsidP="009902A1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944929" w14:textId="77777777" w:rsidR="00833F34" w:rsidRDefault="00833F34" w:rsidP="009902A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34" w:rsidRPr="00E14ADD" w14:paraId="6639A82E" w14:textId="77777777" w:rsidTr="00833F3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429AD" w14:textId="77777777" w:rsidR="00423ACC" w:rsidRDefault="00833F34" w:rsidP="00423ACC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JURALITH Pflasterfugenmörtel ZFM 730 ist gemäß </w:t>
            </w:r>
            <w:r w:rsidR="00423ACC">
              <w:rPr>
                <w:rFonts w:ascii="Arial" w:hAnsi="Arial" w:cs="Arial"/>
                <w:sz w:val="20"/>
                <w:szCs w:val="20"/>
              </w:rPr>
              <w:t>Technischem Merkblatt</w:t>
            </w:r>
            <w:r>
              <w:rPr>
                <w:rFonts w:ascii="Arial" w:hAnsi="Arial" w:cs="Arial"/>
                <w:sz w:val="20"/>
                <w:szCs w:val="20"/>
              </w:rPr>
              <w:t xml:space="preserve"> zu verarbeiten. Eine ggf. vorhandene Fase darf nicht verfugt werden. </w:t>
            </w:r>
          </w:p>
          <w:p w14:paraId="50E73A6A" w14:textId="02F7291D" w:rsidR="00833F34" w:rsidRDefault="00833F34" w:rsidP="00423ACC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größeren Flächen und zur Minimierung des Wasserverbrauchs empfehlen wir zu</w:t>
            </w:r>
            <w:r w:rsidR="00695AB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Reinigung den Einsatz einer Schwamm-Fix-Maschine. Dies ist einzukalkulieren. </w:t>
            </w:r>
          </w:p>
          <w:p w14:paraId="1B960B3B" w14:textId="29CB2244" w:rsidR="007D5060" w:rsidRPr="00E14ADD" w:rsidRDefault="007D5060" w:rsidP="00423ACC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JURALITH Pflasterfugenmörtel ZFM 730 darf nur mit Wasser gereinigt werden. Es ist darauf zu achten, dass das mit Zement gesättigte Reinigungswasser nicht ungefiltert in die Kanalisation gelangt. Dies ist einzukalkulieren.</w:t>
            </w:r>
          </w:p>
        </w:tc>
      </w:tr>
      <w:tr w:rsidR="00833F34" w14:paraId="0CC8F5A6" w14:textId="77777777" w:rsidTr="00833F34">
        <w:trPr>
          <w:gridAfter w:val="1"/>
          <w:wAfter w:w="2410" w:type="dxa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5CD11" w14:textId="77777777" w:rsidR="00833F34" w:rsidRPr="00D770F7" w:rsidRDefault="00833F34" w:rsidP="009902A1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33F34" w14:paraId="7D722E90" w14:textId="77777777" w:rsidTr="00833F34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A2F00" w14:textId="77777777" w:rsidR="007D5060" w:rsidRPr="003256D0" w:rsidRDefault="007D5060" w:rsidP="007D5060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ZFM 730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schnell erhärtender,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B</w:t>
            </w:r>
          </w:p>
          <w:p w14:paraId="27F9DCE2" w14:textId="77777777" w:rsidR="007D5060" w:rsidRDefault="007D5060" w:rsidP="007D506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79B8153" w14:textId="77777777" w:rsidR="007D5060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3BD21F8" w14:textId="77777777" w:rsidR="007D5060" w:rsidRPr="008315E1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B</w:t>
            </w:r>
          </w:p>
          <w:p w14:paraId="69CD189C" w14:textId="77777777" w:rsidR="007D5060" w:rsidRPr="008315E1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7C35F9A0" w14:textId="77777777" w:rsidR="007D5060" w:rsidRPr="008315E1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9,8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DB670FA" w14:textId="77777777" w:rsidR="007D5060" w:rsidRPr="008315E1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&lt;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g/m²</w:t>
            </w:r>
          </w:p>
          <w:p w14:paraId="1B18F86B" w14:textId="77777777" w:rsidR="007D5060" w:rsidRPr="008315E1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27FEF34B" w14:textId="77777777" w:rsidR="007D5060" w:rsidRPr="008315E1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7AC85697" w14:textId="77777777" w:rsidR="007D5060" w:rsidRPr="008315E1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72AED098" w14:textId="77777777" w:rsidR="007D5060" w:rsidRPr="008315E1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37854D3B" w14:textId="77777777" w:rsidR="007D5060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nach ca. 3 Stunden</w:t>
            </w:r>
          </w:p>
          <w:p w14:paraId="0FF0AD93" w14:textId="77777777" w:rsidR="007D5060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F3F8B6A" w14:textId="77777777" w:rsidR="007D5060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63D41F06" w14:textId="77777777" w:rsidR="007D5060" w:rsidRDefault="007D5060" w:rsidP="007D506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3A14D134" w14:textId="77777777" w:rsidR="00833F34" w:rsidRDefault="00833F34" w:rsidP="009902A1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BAA8F55" w14:textId="77777777" w:rsidR="00833F34" w:rsidRDefault="00833F34" w:rsidP="009902A1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75D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694988BE" w14:textId="77777777" w:rsidR="00833F34" w:rsidRPr="001A4C28" w:rsidRDefault="00833F34" w:rsidP="009902A1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50FCB32" w14:textId="77777777" w:rsidR="00833F34" w:rsidRPr="001A4C28" w:rsidRDefault="00833F34" w:rsidP="009902A1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09F325C5" w14:textId="77777777" w:rsidR="00833F34" w:rsidRDefault="00833F34" w:rsidP="009902A1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FFC998F" w14:textId="77777777" w:rsidR="00833F34" w:rsidRPr="000778E9" w:rsidRDefault="00833F34" w:rsidP="009902A1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9BD61F" w14:textId="77777777" w:rsidR="00833F34" w:rsidRDefault="00833F34" w:rsidP="009902A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33F34" w14:paraId="1DBDF5C6" w14:textId="77777777" w:rsidTr="00833F34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3935" w14:textId="77777777" w:rsidR="00833F34" w:rsidRPr="007D2527" w:rsidRDefault="00833F34" w:rsidP="009902A1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AC7980" w14:textId="77777777" w:rsidR="00833F34" w:rsidRDefault="00833F34" w:rsidP="009902A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2A30B" w14:textId="77777777"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E75D71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28E4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38EDBFD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9E67" w14:textId="35268BAB" w:rsidR="00423ACC" w:rsidRDefault="00423AC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E14ADD">
      <w:rPr>
        <w:rFonts w:ascii="Arial" w:hAnsi="Arial" w:cs="Arial"/>
        <w:sz w:val="20"/>
        <w:szCs w:val="20"/>
      </w:rPr>
      <w:t>Nutzungskategorie N1</w:t>
    </w:r>
    <w:r>
      <w:rPr>
        <w:rFonts w:ascii="Arial" w:hAnsi="Arial" w:cs="Arial"/>
        <w:sz w:val="20"/>
        <w:szCs w:val="20"/>
      </w:rPr>
      <w:t xml:space="preserve"> ausschließlich begehbare Flächen</w:t>
    </w:r>
  </w:p>
  <w:p w14:paraId="731EA01E" w14:textId="77777777" w:rsidR="00423ACC" w:rsidRDefault="003D5270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Sonderkonstruktion keramische Platten 20 mm Mindestdicke</w:t>
    </w:r>
  </w:p>
  <w:p w14:paraId="62FFFD35" w14:textId="7C8F9B4D" w:rsidR="009918FC" w:rsidRPr="009918FC" w:rsidRDefault="00423AC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Fugenmörtel</w:t>
    </w:r>
    <w:r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2BF1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09CBC25D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68D7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0E9249EB" wp14:editId="1D2A6FED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68"/>
    <w:multiLevelType w:val="hybridMultilevel"/>
    <w:tmpl w:val="E79CEF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475"/>
    <w:multiLevelType w:val="hybridMultilevel"/>
    <w:tmpl w:val="9AE4A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70F8A"/>
    <w:rsid w:val="0012337C"/>
    <w:rsid w:val="00126389"/>
    <w:rsid w:val="001371D5"/>
    <w:rsid w:val="001D1036"/>
    <w:rsid w:val="001E44B4"/>
    <w:rsid w:val="00250E63"/>
    <w:rsid w:val="003800AB"/>
    <w:rsid w:val="003D5270"/>
    <w:rsid w:val="00423ACC"/>
    <w:rsid w:val="004A1E33"/>
    <w:rsid w:val="004D2E88"/>
    <w:rsid w:val="005442D7"/>
    <w:rsid w:val="005F7D6C"/>
    <w:rsid w:val="00605138"/>
    <w:rsid w:val="006163E4"/>
    <w:rsid w:val="006728AD"/>
    <w:rsid w:val="00676EA9"/>
    <w:rsid w:val="00695AB0"/>
    <w:rsid w:val="00793098"/>
    <w:rsid w:val="007D5060"/>
    <w:rsid w:val="007D6BDD"/>
    <w:rsid w:val="007E1930"/>
    <w:rsid w:val="0082252B"/>
    <w:rsid w:val="008315E1"/>
    <w:rsid w:val="00833F34"/>
    <w:rsid w:val="008766A5"/>
    <w:rsid w:val="008813DE"/>
    <w:rsid w:val="008940A2"/>
    <w:rsid w:val="008E6BCE"/>
    <w:rsid w:val="009644C4"/>
    <w:rsid w:val="009660FF"/>
    <w:rsid w:val="009918FC"/>
    <w:rsid w:val="00AA1DFD"/>
    <w:rsid w:val="00AA5671"/>
    <w:rsid w:val="00BE2336"/>
    <w:rsid w:val="00C06EE2"/>
    <w:rsid w:val="00CB7B78"/>
    <w:rsid w:val="00D454D0"/>
    <w:rsid w:val="00D770F7"/>
    <w:rsid w:val="00DC4D42"/>
    <w:rsid w:val="00DD517F"/>
    <w:rsid w:val="00E14ADD"/>
    <w:rsid w:val="00E75D71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3C391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1D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DFD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DFD"/>
    <w:rPr>
      <w:rFonts w:asciiTheme="minorHAnsi" w:hAnsiTheme="minorHAnsi"/>
      <w:b/>
      <w:bCs/>
      <w:szCs w:val="20"/>
    </w:rPr>
  </w:style>
  <w:style w:type="paragraph" w:styleId="Listenabsatz">
    <w:name w:val="List Paragraph"/>
    <w:basedOn w:val="Standard"/>
    <w:uiPriority w:val="34"/>
    <w:qFormat/>
    <w:rsid w:val="0089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16</cp:revision>
  <cp:lastPrinted>2021-07-28T12:22:00Z</cp:lastPrinted>
  <dcterms:created xsi:type="dcterms:W3CDTF">2021-02-15T14:16:00Z</dcterms:created>
  <dcterms:modified xsi:type="dcterms:W3CDTF">2021-08-12T10:08:00Z</dcterms:modified>
</cp:coreProperties>
</file>